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C4E1" w14:textId="0CB1A9E8" w:rsidR="00953AFF" w:rsidRDefault="00996A9F" w:rsidP="00996A9F">
      <w:pPr>
        <w:jc w:val="center"/>
        <w:rPr>
          <w:b/>
          <w:bCs/>
        </w:rPr>
      </w:pPr>
      <w:r>
        <w:rPr>
          <w:b/>
          <w:bCs/>
        </w:rPr>
        <w:t xml:space="preserve">ASCC Arts and Humanities 1 Panel </w:t>
      </w:r>
    </w:p>
    <w:p w14:paraId="16CFE60D" w14:textId="77064BD3" w:rsidR="00996A9F" w:rsidRDefault="00F362F9" w:rsidP="00996A9F">
      <w:pPr>
        <w:jc w:val="center"/>
      </w:pPr>
      <w:r>
        <w:t>A</w:t>
      </w:r>
      <w:r w:rsidR="006C0B24">
        <w:t>pproved</w:t>
      </w:r>
      <w:r w:rsidR="00996A9F">
        <w:t xml:space="preserve"> Minutes</w:t>
      </w:r>
    </w:p>
    <w:p w14:paraId="722B1872" w14:textId="099B54EC" w:rsidR="00996A9F" w:rsidRDefault="00996A9F" w:rsidP="00996A9F">
      <w:r>
        <w:t>Wednesday, December 7</w:t>
      </w:r>
      <w:r w:rsidRPr="00996A9F">
        <w:rPr>
          <w:vertAlign w:val="superscript"/>
        </w:rPr>
        <w:t>th</w:t>
      </w:r>
      <w:r>
        <w:t xml:space="preserve">, </w:t>
      </w:r>
      <w:proofErr w:type="gramStart"/>
      <w:r>
        <w:t>2022</w:t>
      </w:r>
      <w:proofErr w:type="gramEnd"/>
      <w:r>
        <w:tab/>
      </w:r>
      <w:r>
        <w:tab/>
      </w:r>
      <w:r>
        <w:tab/>
      </w:r>
      <w:r>
        <w:tab/>
      </w:r>
      <w:r>
        <w:tab/>
      </w:r>
      <w:r>
        <w:tab/>
        <w:t xml:space="preserve">        9:30AM – 11:00AM</w:t>
      </w:r>
    </w:p>
    <w:p w14:paraId="271588A0" w14:textId="42B05686" w:rsidR="00996A9F" w:rsidRDefault="00996A9F" w:rsidP="00996A9F">
      <w:proofErr w:type="spellStart"/>
      <w:r>
        <w:t>CarmenZoom</w:t>
      </w:r>
      <w:proofErr w:type="spellEnd"/>
    </w:p>
    <w:p w14:paraId="01F42F25" w14:textId="0FC15777" w:rsidR="00996A9F" w:rsidRDefault="00996A9F" w:rsidP="00996A9F"/>
    <w:p w14:paraId="07452C7B" w14:textId="09700DFD" w:rsidR="00996A9F" w:rsidRDefault="00996A9F" w:rsidP="00996A9F">
      <w:r>
        <w:rPr>
          <w:b/>
          <w:bCs/>
        </w:rPr>
        <w:t xml:space="preserve">Attendees: </w:t>
      </w:r>
      <w:r>
        <w:t xml:space="preserve">Bitters, Cody, Hilty, Podalsky, Richardson, Staley, Smith </w:t>
      </w:r>
    </w:p>
    <w:p w14:paraId="2AD560CD" w14:textId="56EF73A9" w:rsidR="00996A9F" w:rsidRDefault="00996A9F" w:rsidP="00996A9F"/>
    <w:p w14:paraId="3B34F668" w14:textId="7E0F7C9E" w:rsidR="00996A9F" w:rsidRDefault="00996A9F" w:rsidP="00996A9F">
      <w:pPr>
        <w:pStyle w:val="ListParagraph"/>
        <w:numPr>
          <w:ilvl w:val="0"/>
          <w:numId w:val="1"/>
        </w:numPr>
      </w:pPr>
      <w:r>
        <w:t>Approval of 10/19, 11/02, &amp; 11/16 Minutes</w:t>
      </w:r>
    </w:p>
    <w:p w14:paraId="332CB3D5" w14:textId="798CAE83" w:rsidR="00996A9F" w:rsidRDefault="00996A9F" w:rsidP="00996A9F">
      <w:pPr>
        <w:pStyle w:val="ListParagraph"/>
        <w:numPr>
          <w:ilvl w:val="1"/>
          <w:numId w:val="1"/>
        </w:numPr>
      </w:pPr>
      <w:r>
        <w:t xml:space="preserve">Richardson, Podalsky, </w:t>
      </w:r>
      <w:r>
        <w:rPr>
          <w:b/>
          <w:bCs/>
        </w:rPr>
        <w:t xml:space="preserve">unanimously approved </w:t>
      </w:r>
    </w:p>
    <w:p w14:paraId="250FD313" w14:textId="3B8A1D09" w:rsidR="00996A9F" w:rsidRDefault="00996A9F" w:rsidP="00996A9F">
      <w:pPr>
        <w:pStyle w:val="ListParagraph"/>
        <w:numPr>
          <w:ilvl w:val="0"/>
          <w:numId w:val="1"/>
        </w:numPr>
      </w:pPr>
      <w:r>
        <w:t xml:space="preserve">English 5711 (new course) </w:t>
      </w:r>
    </w:p>
    <w:p w14:paraId="3C88B969" w14:textId="3F9DDB2D" w:rsidR="00996A9F" w:rsidRPr="00442C6C" w:rsidRDefault="00996A9F" w:rsidP="00996A9F">
      <w:pPr>
        <w:pStyle w:val="ListParagraph"/>
        <w:numPr>
          <w:ilvl w:val="1"/>
          <w:numId w:val="1"/>
        </w:numPr>
      </w:pPr>
      <w:r>
        <w:rPr>
          <w:b/>
          <w:bCs/>
        </w:rPr>
        <w:t>The Panel asks that more information be provided on the assignments in the course syllabus, as currently they are only briefly described under the introduction and the grading criteria section. Along with more general explanation of the assignments, they would also like</w:t>
      </w:r>
      <w:r w:rsidR="00442C6C">
        <w:rPr>
          <w:b/>
          <w:bCs/>
        </w:rPr>
        <w:t xml:space="preserve"> to see, specifically, a more in-depth explanation of the participation assignment, given it is worth 40% of a student’s final grade. </w:t>
      </w:r>
    </w:p>
    <w:p w14:paraId="25EE343A" w14:textId="36416EF6" w:rsidR="00442C6C" w:rsidRPr="00442C6C" w:rsidRDefault="00442C6C" w:rsidP="00996A9F">
      <w:pPr>
        <w:pStyle w:val="ListParagraph"/>
        <w:numPr>
          <w:ilvl w:val="1"/>
          <w:numId w:val="1"/>
        </w:numPr>
      </w:pPr>
      <w:r>
        <w:rPr>
          <w:i/>
          <w:iCs/>
        </w:rPr>
        <w:t xml:space="preserve">The Panel recommends checking the font size of the course calendar, as it appears to get particularly small during some weeks, and this could have accessibility concerns. </w:t>
      </w:r>
    </w:p>
    <w:p w14:paraId="074AA38B" w14:textId="7D5D2C67" w:rsidR="00442C6C" w:rsidRDefault="00442C6C" w:rsidP="00996A9F">
      <w:pPr>
        <w:pStyle w:val="ListParagraph"/>
        <w:numPr>
          <w:ilvl w:val="1"/>
          <w:numId w:val="1"/>
        </w:numPr>
      </w:pPr>
      <w:r>
        <w:t xml:space="preserve">Podalsky, Richardson,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7A7D5D61" w14:textId="10BC7F78" w:rsidR="00442C6C" w:rsidRDefault="00442C6C" w:rsidP="00442C6C">
      <w:pPr>
        <w:pStyle w:val="ListParagraph"/>
        <w:numPr>
          <w:ilvl w:val="0"/>
          <w:numId w:val="1"/>
        </w:numPr>
      </w:pPr>
      <w:r>
        <w:t xml:space="preserve">Spanish/Comparative Studies/WGSS 2381 (new cross-listed courses requesting GEN Foundation: REGD) </w:t>
      </w:r>
    </w:p>
    <w:p w14:paraId="2A72CE06" w14:textId="1B77667C" w:rsidR="00442C6C" w:rsidRPr="00442C6C" w:rsidRDefault="00442C6C" w:rsidP="00442C6C">
      <w:pPr>
        <w:pStyle w:val="ListParagraph"/>
        <w:numPr>
          <w:ilvl w:val="1"/>
          <w:numId w:val="1"/>
        </w:numPr>
      </w:pPr>
      <w:r>
        <w:rPr>
          <w:i/>
          <w:iCs/>
        </w:rPr>
        <w:t>The Panel offers the friendly reminder to ensure that all standardized statements (such as Student Life – Disability Services, Title IX, etc.</w:t>
      </w:r>
      <w:r w:rsidR="006C0B24">
        <w:rPr>
          <w:i/>
          <w:iCs/>
        </w:rPr>
        <w:t>)</w:t>
      </w:r>
      <w:r>
        <w:rPr>
          <w:i/>
          <w:iCs/>
        </w:rPr>
        <w:t xml:space="preserve">, are updated for the campus </w:t>
      </w:r>
      <w:r w:rsidR="006C0B24">
        <w:rPr>
          <w:i/>
          <w:iCs/>
        </w:rPr>
        <w:t>where</w:t>
      </w:r>
      <w:r>
        <w:rPr>
          <w:i/>
          <w:iCs/>
        </w:rPr>
        <w:t xml:space="preserve"> the course will be offered. </w:t>
      </w:r>
    </w:p>
    <w:p w14:paraId="280913EB" w14:textId="4EDDAAC0" w:rsidR="00442C6C" w:rsidRPr="000133A6" w:rsidRDefault="00442C6C" w:rsidP="00442C6C">
      <w:pPr>
        <w:pStyle w:val="ListParagraph"/>
        <w:numPr>
          <w:ilvl w:val="1"/>
          <w:numId w:val="1"/>
        </w:numPr>
      </w:pPr>
      <w:r>
        <w:rPr>
          <w:i/>
          <w:iCs/>
        </w:rPr>
        <w:t>The Panel recommends updating the absence policy regarding medical excuses, as Student Health Services no longer offers the self-identification of absence and is asking students to no longer schedule an appointment to obtain a medical excuse</w:t>
      </w:r>
      <w:r w:rsidR="00D30B52">
        <w:rPr>
          <w:i/>
          <w:iCs/>
        </w:rPr>
        <w:t xml:space="preserve">, especially </w:t>
      </w:r>
      <w:r>
        <w:rPr>
          <w:i/>
          <w:iCs/>
        </w:rPr>
        <w:t xml:space="preserve">when they can self-care at home. For more information, and the current policy from the </w:t>
      </w:r>
      <w:proofErr w:type="spellStart"/>
      <w:r>
        <w:rPr>
          <w:i/>
          <w:iCs/>
        </w:rPr>
        <w:t>Wilce</w:t>
      </w:r>
      <w:proofErr w:type="spellEnd"/>
      <w:r>
        <w:rPr>
          <w:i/>
          <w:iCs/>
        </w:rPr>
        <w:t xml:space="preserve"> Student Health Center, please visit their website here: </w:t>
      </w:r>
      <w:hyperlink r:id="rId5" w:history="1">
        <w:r w:rsidR="000133A6" w:rsidRPr="00166445">
          <w:rPr>
            <w:rStyle w:val="Hyperlink"/>
            <w:i/>
            <w:iCs/>
          </w:rPr>
          <w:t>https://shs.osu.edu/appointments/absence-excuse</w:t>
        </w:r>
      </w:hyperlink>
      <w:r w:rsidR="000133A6">
        <w:rPr>
          <w:i/>
          <w:iCs/>
        </w:rPr>
        <w:t xml:space="preserve">. </w:t>
      </w:r>
    </w:p>
    <w:p w14:paraId="28EC75D2" w14:textId="495D0EBC" w:rsidR="000133A6" w:rsidRDefault="000133A6" w:rsidP="00442C6C">
      <w:pPr>
        <w:pStyle w:val="ListParagraph"/>
        <w:numPr>
          <w:ilvl w:val="1"/>
          <w:numId w:val="1"/>
        </w:numPr>
      </w:pPr>
      <w:r>
        <w:t xml:space="preserve">Richardson, Podalsky, </w:t>
      </w:r>
      <w:r>
        <w:rPr>
          <w:b/>
          <w:bCs/>
        </w:rPr>
        <w:t xml:space="preserve">unanimously approved </w:t>
      </w:r>
      <w:r>
        <w:t xml:space="preserve">with </w:t>
      </w:r>
      <w:r>
        <w:rPr>
          <w:i/>
          <w:iCs/>
        </w:rPr>
        <w:t xml:space="preserve">two recommendations </w:t>
      </w:r>
      <w:r>
        <w:t xml:space="preserve">(in italics) </w:t>
      </w:r>
    </w:p>
    <w:p w14:paraId="2D3ADEE8" w14:textId="77777777" w:rsidR="006C0B24" w:rsidRDefault="000133A6" w:rsidP="006C0B24">
      <w:pPr>
        <w:pStyle w:val="ListParagraph"/>
        <w:numPr>
          <w:ilvl w:val="0"/>
          <w:numId w:val="1"/>
        </w:numPr>
      </w:pPr>
      <w:r>
        <w:t>History 3365</w:t>
      </w:r>
    </w:p>
    <w:p w14:paraId="52C3FAD4" w14:textId="0EFF387D" w:rsidR="006C0B24" w:rsidRPr="006C0B24" w:rsidRDefault="006C0B24" w:rsidP="006C0B24">
      <w:pPr>
        <w:pStyle w:val="ListParagraph"/>
        <w:numPr>
          <w:ilvl w:val="1"/>
          <w:numId w:val="1"/>
        </w:numPr>
      </w:pPr>
      <w:r w:rsidRPr="006C0B24">
        <w:rPr>
          <w:rFonts w:ascii="Calibri" w:hAnsi="Calibri" w:cs="Calibri"/>
          <w:b/>
          <w:bCs/>
          <w:bdr w:val="none" w:sz="0" w:space="0" w:color="auto" w:frame="1"/>
          <w:shd w:val="clear" w:color="auto" w:fill="FFFFFF"/>
        </w:rPr>
        <w:t xml:space="preserve">The Panel noticed there was marked difference in requirements between the submitted in-person course and this iteration of the asynchronous online course. For example, there is a much heavier reliance on “popular media” </w:t>
      </w:r>
      <w:proofErr w:type="gramStart"/>
      <w:r w:rsidRPr="006C0B24">
        <w:rPr>
          <w:rFonts w:ascii="Calibri" w:hAnsi="Calibri" w:cs="Calibri"/>
          <w:b/>
          <w:bCs/>
          <w:bdr w:val="none" w:sz="0" w:space="0" w:color="auto" w:frame="1"/>
          <w:shd w:val="clear" w:color="auto" w:fill="FFFFFF"/>
        </w:rPr>
        <w:t>sources</w:t>
      </w:r>
      <w:proofErr w:type="gramEnd"/>
      <w:r w:rsidRPr="006C0B24">
        <w:rPr>
          <w:rFonts w:ascii="Calibri" w:hAnsi="Calibri" w:cs="Calibri"/>
          <w:b/>
          <w:bCs/>
          <w:bdr w:val="none" w:sz="0" w:space="0" w:color="auto" w:frame="1"/>
          <w:shd w:val="clear" w:color="auto" w:fill="FFFFFF"/>
        </w:rPr>
        <w:t xml:space="preserve"> and it appears that the amount of student writing has been modified and lessened substantially (from two research papers in the in-person syllabus to approximately 18 paragraphs in the online asynchronous version [6 discussion posts of about 3 paragraphs each]). The Panel reviewed the proposed distance syllabus in comparison to the approved in-person syllabus and they do not appear to be the same rigor. Please ensure that the </w:t>
      </w:r>
      <w:r w:rsidRPr="006C0B24">
        <w:rPr>
          <w:rFonts w:ascii="Calibri" w:hAnsi="Calibri" w:cs="Calibri"/>
          <w:b/>
          <w:bCs/>
          <w:bdr w:val="none" w:sz="0" w:space="0" w:color="auto" w:frame="1"/>
          <w:shd w:val="clear" w:color="auto" w:fill="FFFFFF"/>
        </w:rPr>
        <w:lastRenderedPageBreak/>
        <w:t>distance learning version of the course is of the appropriate rigor for a 3000-level, upper-division course in the Arts and Humanities and is an equivalent course to the provided in-person comparison syllabus. As a reminder, the provided in-person syllabus can be found starting on page 19 of the PDF found here: </w:t>
      </w:r>
      <w:hyperlink r:id="rId6" w:tgtFrame="_blank" w:history="1">
        <w:r w:rsidRPr="006C0B24">
          <w:rPr>
            <w:rStyle w:val="Hyperlink"/>
            <w:rFonts w:ascii="Calibri" w:hAnsi="Calibri" w:cs="Calibri"/>
            <w:b/>
            <w:bCs/>
            <w:color w:val="auto"/>
            <w:bdr w:val="none" w:sz="0" w:space="0" w:color="auto" w:frame="1"/>
            <w:shd w:val="clear" w:color="auto" w:fill="FFFFFF"/>
          </w:rPr>
          <w:t>https://ascnet.osu.edu/storage/request_documents/5466/History%203365%20Course%20Change.pdf</w:t>
        </w:r>
      </w:hyperlink>
      <w:r w:rsidRPr="006C0B24">
        <w:rPr>
          <w:rFonts w:ascii="Calibri" w:hAnsi="Calibri" w:cs="Calibri"/>
          <w:b/>
          <w:bCs/>
          <w:bdr w:val="none" w:sz="0" w:space="0" w:color="auto" w:frame="1"/>
          <w:shd w:val="clear" w:color="auto" w:fill="FFFFFF"/>
        </w:rPr>
        <w:t>. </w:t>
      </w:r>
    </w:p>
    <w:p w14:paraId="6FDA282B" w14:textId="390CFE6D" w:rsidR="006C0B24" w:rsidRPr="006C0B24" w:rsidRDefault="006C0B24" w:rsidP="006C0B24">
      <w:pPr>
        <w:pStyle w:val="ListParagraph"/>
        <w:numPr>
          <w:ilvl w:val="1"/>
          <w:numId w:val="1"/>
        </w:numPr>
      </w:pPr>
      <w:r w:rsidRPr="006C0B24">
        <w:rPr>
          <w:rFonts w:ascii="Calibri" w:hAnsi="Calibri" w:cs="Calibri"/>
          <w:b/>
          <w:bCs/>
          <w:bdr w:val="none" w:sz="0" w:space="0" w:color="auto" w:frame="1"/>
          <w:shd w:val="clear" w:color="auto" w:fill="FFFFFF"/>
        </w:rPr>
        <w:t>The Panel asks that more information be included within the course syllabus surrounding how the required 3 hours of direct instruction per week will be satisfied. According to the syllabus, the only direct instructional time the Panel could see was the 15-minute weekly course introduction. They recommend, as a suggestion, adding instructor recorded video lectures or other such form of direct instruction to help showcase how, each week, the instructor will be directly interacting with students in this asynchronous course. </w:t>
      </w:r>
    </w:p>
    <w:p w14:paraId="6837802B" w14:textId="521D7017" w:rsidR="006C0B24" w:rsidRPr="006C0B24" w:rsidRDefault="006C0B24" w:rsidP="006C0B24">
      <w:pPr>
        <w:pStyle w:val="ListParagraph"/>
        <w:numPr>
          <w:ilvl w:val="1"/>
          <w:numId w:val="1"/>
        </w:numPr>
      </w:pPr>
      <w:r w:rsidRPr="006C0B24">
        <w:rPr>
          <w:rFonts w:ascii="Calibri" w:hAnsi="Calibri" w:cs="Calibri"/>
          <w:b/>
          <w:bCs/>
          <w:bdr w:val="none" w:sz="0" w:space="0" w:color="auto" w:frame="1"/>
          <w:shd w:val="clear" w:color="auto" w:fill="FFFFFF"/>
        </w:rPr>
        <w:t>On page 9 of the course syllabus, there is a section regarding synchronous sessions and guides for these sessions. Given this is an asynchronous course, please remove this section from the syllabus. </w:t>
      </w:r>
    </w:p>
    <w:p w14:paraId="4AA8D827" w14:textId="75FC5C64" w:rsidR="006C0B24" w:rsidRPr="006C0B24" w:rsidRDefault="006C0B24" w:rsidP="006C0B24">
      <w:pPr>
        <w:pStyle w:val="ListParagraph"/>
        <w:numPr>
          <w:ilvl w:val="1"/>
          <w:numId w:val="1"/>
        </w:numPr>
      </w:pPr>
      <w:r w:rsidRPr="006C0B24">
        <w:rPr>
          <w:rFonts w:ascii="Calibri" w:hAnsi="Calibri" w:cs="Calibri"/>
          <w:i/>
          <w:iCs/>
          <w:bdr w:val="none" w:sz="0" w:space="0" w:color="auto" w:frame="1"/>
          <w:shd w:val="clear" w:color="auto" w:fill="FFFFFF"/>
        </w:rPr>
        <w:t>The Panel recommends including a reference list of all required course texts (readings, videos, etc.) in the course syllabus as a helpful resource for students enrolled within the course. </w:t>
      </w:r>
      <w:r w:rsidRPr="006C0B24">
        <w:rPr>
          <w:rFonts w:ascii="Calibri" w:hAnsi="Calibri" w:cs="Calibri"/>
          <w:bdr w:val="none" w:sz="0" w:space="0" w:color="auto" w:frame="1"/>
          <w:shd w:val="clear" w:color="auto" w:fill="FFFFFF"/>
        </w:rPr>
        <w:t> </w:t>
      </w:r>
    </w:p>
    <w:p w14:paraId="42EEE13F" w14:textId="4FD89123" w:rsidR="00141BAD" w:rsidRPr="006C0B24" w:rsidRDefault="006C0B24" w:rsidP="006C0B24">
      <w:pPr>
        <w:pStyle w:val="ListParagraph"/>
        <w:numPr>
          <w:ilvl w:val="1"/>
          <w:numId w:val="1"/>
        </w:numPr>
      </w:pPr>
      <w:r w:rsidRPr="006C0B24">
        <w:rPr>
          <w:rFonts w:ascii="Calibri" w:hAnsi="Calibri" w:cs="Calibri"/>
          <w:bdr w:val="none" w:sz="0" w:space="0" w:color="auto" w:frame="1"/>
          <w:shd w:val="clear" w:color="auto" w:fill="FFFFFF"/>
        </w:rPr>
        <w:t>Richardson, Podalsky, </w:t>
      </w:r>
      <w:r w:rsidRPr="006C0B24">
        <w:rPr>
          <w:rFonts w:ascii="Calibri" w:hAnsi="Calibri" w:cs="Calibri"/>
          <w:b/>
          <w:bCs/>
          <w:bdr w:val="none" w:sz="0" w:space="0" w:color="auto" w:frame="1"/>
          <w:shd w:val="clear" w:color="auto" w:fill="FFFFFF"/>
        </w:rPr>
        <w:t>unanimously approved </w:t>
      </w:r>
      <w:r w:rsidRPr="006C0B24">
        <w:rPr>
          <w:rFonts w:ascii="Calibri" w:hAnsi="Calibri" w:cs="Calibri"/>
          <w:bdr w:val="none" w:sz="0" w:space="0" w:color="auto" w:frame="1"/>
          <w:shd w:val="clear" w:color="auto" w:fill="FFFFFF"/>
        </w:rPr>
        <w:t>with </w:t>
      </w:r>
      <w:r w:rsidRPr="006C0B24">
        <w:rPr>
          <w:rFonts w:ascii="Calibri" w:hAnsi="Calibri" w:cs="Calibri"/>
          <w:b/>
          <w:bCs/>
          <w:bdr w:val="none" w:sz="0" w:space="0" w:color="auto" w:frame="1"/>
          <w:shd w:val="clear" w:color="auto" w:fill="FFFFFF"/>
        </w:rPr>
        <w:t>three contingencies </w:t>
      </w:r>
      <w:r w:rsidRPr="006C0B24">
        <w:rPr>
          <w:rFonts w:ascii="Calibri" w:hAnsi="Calibri" w:cs="Calibri"/>
          <w:bdr w:val="none" w:sz="0" w:space="0" w:color="auto" w:frame="1"/>
          <w:shd w:val="clear" w:color="auto" w:fill="FFFFFF"/>
        </w:rPr>
        <w:t>(in bold above) and </w:t>
      </w:r>
      <w:r w:rsidRPr="006C0B24">
        <w:rPr>
          <w:rFonts w:ascii="Calibri" w:hAnsi="Calibri" w:cs="Calibri"/>
          <w:i/>
          <w:iCs/>
          <w:bdr w:val="none" w:sz="0" w:space="0" w:color="auto" w:frame="1"/>
          <w:shd w:val="clear" w:color="auto" w:fill="FFFFFF"/>
        </w:rPr>
        <w:t>one recommendation </w:t>
      </w:r>
      <w:r w:rsidRPr="006C0B24">
        <w:rPr>
          <w:rFonts w:ascii="Calibri" w:hAnsi="Calibri" w:cs="Calibri"/>
          <w:bdr w:val="none" w:sz="0" w:space="0" w:color="auto" w:frame="1"/>
          <w:shd w:val="clear" w:color="auto" w:fill="FFFFFF"/>
        </w:rPr>
        <w:t>(in italics above) </w:t>
      </w:r>
    </w:p>
    <w:sectPr w:rsidR="00141BAD" w:rsidRPr="006C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5898"/>
    <w:multiLevelType w:val="hybridMultilevel"/>
    <w:tmpl w:val="67E887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77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9F"/>
    <w:rsid w:val="000133A6"/>
    <w:rsid w:val="00141BAD"/>
    <w:rsid w:val="00442C6C"/>
    <w:rsid w:val="006C0B24"/>
    <w:rsid w:val="00953AFF"/>
    <w:rsid w:val="00996A9F"/>
    <w:rsid w:val="00C250B3"/>
    <w:rsid w:val="00D30B52"/>
    <w:rsid w:val="00F3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99BF"/>
  <w15:chartTrackingRefBased/>
  <w15:docId w15:val="{70F689B4-4C21-4F34-AEEE-5D539C49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9F"/>
    <w:pPr>
      <w:ind w:left="720"/>
      <w:contextualSpacing/>
    </w:pPr>
  </w:style>
  <w:style w:type="character" w:styleId="Hyperlink">
    <w:name w:val="Hyperlink"/>
    <w:basedOn w:val="DefaultParagraphFont"/>
    <w:uiPriority w:val="99"/>
    <w:unhideWhenUsed/>
    <w:rsid w:val="000133A6"/>
    <w:rPr>
      <w:color w:val="0563C1" w:themeColor="hyperlink"/>
      <w:u w:val="single"/>
    </w:rPr>
  </w:style>
  <w:style w:type="character" w:styleId="UnresolvedMention">
    <w:name w:val="Unresolved Mention"/>
    <w:basedOn w:val="DefaultParagraphFont"/>
    <w:uiPriority w:val="99"/>
    <w:semiHidden/>
    <w:unhideWhenUsed/>
    <w:rsid w:val="000133A6"/>
    <w:rPr>
      <w:color w:val="605E5C"/>
      <w:shd w:val="clear" w:color="auto" w:fill="E1DFDD"/>
    </w:rPr>
  </w:style>
  <w:style w:type="paragraph" w:styleId="NormalWeb">
    <w:name w:val="Normal (Web)"/>
    <w:basedOn w:val="Normal"/>
    <w:uiPriority w:val="99"/>
    <w:semiHidden/>
    <w:unhideWhenUsed/>
    <w:rsid w:val="006C0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net.osu.edu/storage/request_documents/5466/History%203365%20Course%20Change.pdf" TargetMode="External"/><Relationship Id="rId5" Type="http://schemas.openxmlformats.org/officeDocument/2006/relationships/hyperlink" Target="https://shs.osu.edu/appointments/absence-exc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3554</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2023-02-01T13:34:00Z</dcterms:created>
  <dcterms:modified xsi:type="dcterms:W3CDTF">2023-02-01T13:34:00Z</dcterms:modified>
</cp:coreProperties>
</file>